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00683A" w:rsidRDefault="000C264D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  <w:r w:rsidRPr="000C264D">
        <w:rPr>
          <w:rFonts w:ascii="Verdana" w:hAnsi="Verdana"/>
          <w:b/>
          <w:bCs/>
        </w:rPr>
        <w:t xml:space="preserve">Открытый </w:t>
      </w:r>
      <w:r w:rsidR="00FA2D78">
        <w:rPr>
          <w:rFonts w:ascii="Verdana" w:hAnsi="Verdana"/>
          <w:b/>
          <w:bCs/>
        </w:rPr>
        <w:t>НАЦИОНАЛЬНЫЙ ЧЕМПИОНАТ</w:t>
      </w:r>
      <w:r w:rsidR="00886C88">
        <w:rPr>
          <w:rFonts w:ascii="Verdana" w:hAnsi="Verdana"/>
          <w:b/>
          <w:bCs/>
        </w:rPr>
        <w:t xml:space="preserve"> WPF</w:t>
      </w:r>
      <w:r w:rsidR="00886C88" w:rsidRPr="00886C88">
        <w:rPr>
          <w:rFonts w:ascii="Verdana" w:hAnsi="Verdana"/>
          <w:b/>
          <w:bCs/>
        </w:rPr>
        <w:t>/</w:t>
      </w:r>
      <w:r w:rsidR="00886C88">
        <w:rPr>
          <w:rFonts w:ascii="Verdana" w:hAnsi="Verdana"/>
          <w:b/>
          <w:bCs/>
          <w:lang w:val="en-US"/>
        </w:rPr>
        <w:t>WBF</w:t>
      </w:r>
      <w:r w:rsidR="00886C88" w:rsidRPr="00886C88">
        <w:rPr>
          <w:rFonts w:ascii="Verdana" w:hAnsi="Verdana"/>
          <w:b/>
          <w:bCs/>
        </w:rPr>
        <w:t xml:space="preserve"> </w:t>
      </w:r>
      <w:r w:rsidRPr="000C264D">
        <w:rPr>
          <w:rFonts w:ascii="Verdana" w:hAnsi="Verdana"/>
          <w:b/>
          <w:bCs/>
        </w:rPr>
        <w:t>2024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Лысов Григорий Вячеславович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председатель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FA2D78">
        <w:rPr>
          <w:rFonts w:ascii="Verdana" w:hAnsi="Verdana"/>
          <w:b/>
          <w:sz w:val="18"/>
          <w:szCs w:val="18"/>
        </w:rPr>
        <w:t>24</w:t>
      </w:r>
      <w:r w:rsidR="00D31583">
        <w:rPr>
          <w:rFonts w:ascii="Verdana" w:hAnsi="Verdana"/>
          <w:b/>
          <w:sz w:val="18"/>
          <w:szCs w:val="18"/>
        </w:rPr>
        <w:t>-</w:t>
      </w:r>
      <w:r w:rsidR="00FA2D78">
        <w:rPr>
          <w:rFonts w:ascii="Verdana" w:hAnsi="Verdana"/>
          <w:b/>
          <w:sz w:val="18"/>
          <w:szCs w:val="18"/>
        </w:rPr>
        <w:t>25 августа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A6B02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BA6B02">
        <w:rPr>
          <w:rFonts w:ascii="Verdana" w:hAnsi="Verdana"/>
          <w:sz w:val="18"/>
          <w:szCs w:val="18"/>
        </w:rPr>
        <w:t>1</w:t>
      </w:r>
      <w:r w:rsidR="00173180">
        <w:rPr>
          <w:rFonts w:ascii="Verdana" w:hAnsi="Verdana"/>
          <w:sz w:val="18"/>
          <w:szCs w:val="18"/>
        </w:rPr>
        <w:t>5 августа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10) </w:t>
      </w:r>
      <w:r>
        <w:rPr>
          <w:rFonts w:ascii="Verdana" w:hAnsi="Verdana"/>
          <w:sz w:val="18"/>
          <w:szCs w:val="18"/>
        </w:rPr>
        <w:t>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A4FE5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Лысов Григорий Вячеславович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886C88">
        <w:rPr>
          <w:rFonts w:ascii="Verdana" w:hAnsi="Verdana"/>
          <w:b/>
          <w:sz w:val="18"/>
          <w:szCs w:val="18"/>
        </w:rPr>
        <w:t>1</w:t>
      </w:r>
      <w:r w:rsidR="00886C88" w:rsidRPr="00886C88">
        <w:rPr>
          <w:rFonts w:ascii="Verdana" w:hAnsi="Verdana"/>
          <w:b/>
          <w:sz w:val="18"/>
          <w:szCs w:val="18"/>
        </w:rPr>
        <w:t>0</w:t>
      </w:r>
      <w:r w:rsidR="00886C88">
        <w:rPr>
          <w:rFonts w:ascii="Verdana" w:hAnsi="Verdana"/>
          <w:b/>
          <w:sz w:val="18"/>
          <w:szCs w:val="18"/>
        </w:rPr>
        <w:t xml:space="preserve"> </w:t>
      </w:r>
      <w:r w:rsidR="00F47822">
        <w:rPr>
          <w:rFonts w:ascii="Verdana" w:hAnsi="Verdana"/>
          <w:b/>
          <w:sz w:val="18"/>
          <w:szCs w:val="18"/>
        </w:rPr>
        <w:t>ав</w:t>
      </w:r>
      <w:r w:rsidR="00886C88">
        <w:rPr>
          <w:rFonts w:ascii="Verdana" w:hAnsi="Verdana"/>
          <w:b/>
          <w:sz w:val="18"/>
          <w:szCs w:val="18"/>
        </w:rPr>
        <w:t>густа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AA4FE5">
        <w:rPr>
          <w:rFonts w:ascii="Verdana" w:hAnsi="Verdana"/>
          <w:b/>
          <w:sz w:val="18"/>
          <w:szCs w:val="18"/>
        </w:rPr>
        <w:t xml:space="preserve">2024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886C88" w:rsidRPr="00A656B0">
          <w:rPr>
            <w:rStyle w:val="a3"/>
            <w:rFonts w:ascii="Verdana" w:hAnsi="Verdana"/>
            <w:sz w:val="18"/>
            <w:szCs w:val="18"/>
          </w:rPr>
          <w:t>https://wpfpowerlifting.ru/calendar/244/</w:t>
        </w:r>
      </w:hyperlink>
    </w:p>
    <w:p w:rsidR="00AA4FE5" w:rsidRDefault="00AA4FE5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 xml:space="preserve">на странице турнира </w:t>
      </w:r>
      <w:hyperlink r:id="rId12" w:history="1">
        <w:r w:rsidR="00886C88" w:rsidRPr="00A656B0">
          <w:rPr>
            <w:rStyle w:val="a3"/>
          </w:rPr>
          <w:t>https://wpfpowerlifting.ru/calendar/244/</w:t>
        </w:r>
      </w:hyperlink>
    </w:p>
    <w:p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630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730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430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354E29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530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8547F9">
        <w:rPr>
          <w:rStyle w:val="markedcontent"/>
          <w:rFonts w:ascii="Verdana" w:hAnsi="Verdana" w:cs="Arial"/>
          <w:sz w:val="18"/>
          <w:szCs w:val="18"/>
        </w:rPr>
        <w:t>размере 10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593CA7"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F47822">
        <w:rPr>
          <w:rFonts w:ascii="Verdana" w:hAnsi="Verdana"/>
          <w:b/>
          <w:sz w:val="18"/>
          <w:szCs w:val="18"/>
        </w:rPr>
        <w:t>10 августа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593CA7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F47822">
        <w:rPr>
          <w:rFonts w:ascii="Verdana" w:hAnsi="Verdana"/>
          <w:sz w:val="18"/>
          <w:szCs w:val="18"/>
        </w:rPr>
        <w:t>10 августа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F47822" w:rsidRPr="00F47822" w:rsidRDefault="00F85A9D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r w:rsidR="00F47822" w:rsidRPr="00F47822">
        <w:rPr>
          <w:rFonts w:ascii="Verdana" w:hAnsi="Verdana"/>
          <w:bCs/>
          <w:sz w:val="18"/>
          <w:szCs w:val="18"/>
        </w:rPr>
        <w:t>https://wpfpowerlifting.ru/calendar/244/</w:t>
      </w:r>
    </w:p>
    <w:p w:rsidR="00593CA7" w:rsidRDefault="00593CA7" w:rsidP="00593CA7">
      <w:pPr>
        <w:spacing w:line="285" w:lineRule="atLeast"/>
        <w:jc w:val="both"/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="00586526">
        <w:rPr>
          <w:rFonts w:ascii="Verdana" w:hAnsi="Verdana"/>
          <w:sz w:val="18"/>
          <w:szCs w:val="18"/>
        </w:rPr>
        <w:t xml:space="preserve">до </w:t>
      </w:r>
      <w:r w:rsidR="00F47822">
        <w:rPr>
          <w:rFonts w:ascii="Verdana" w:hAnsi="Verdana"/>
          <w:b/>
          <w:sz w:val="18"/>
          <w:szCs w:val="18"/>
        </w:rPr>
        <w:t>10 августа</w:t>
      </w:r>
      <w:r w:rsidR="00593CA7" w:rsidRPr="00593CA7">
        <w:rPr>
          <w:rFonts w:ascii="Verdana" w:hAnsi="Verdana"/>
          <w:b/>
          <w:sz w:val="18"/>
          <w:szCs w:val="18"/>
        </w:rPr>
        <w:t xml:space="preserve"> 2024</w:t>
      </w:r>
      <w:r w:rsidRPr="00593CA7">
        <w:rPr>
          <w:rFonts w:ascii="Verdana" w:hAnsi="Verdana"/>
          <w:b/>
          <w:sz w:val="18"/>
          <w:szCs w:val="18"/>
        </w:rPr>
        <w:t xml:space="preserve"> г</w:t>
      </w:r>
      <w:r>
        <w:rPr>
          <w:rFonts w:ascii="Verdana" w:hAnsi="Verdana"/>
          <w:sz w:val="18"/>
          <w:szCs w:val="18"/>
        </w:rPr>
        <w:t>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593CA7">
        <w:rPr>
          <w:rFonts w:ascii="Verdana" w:hAnsi="Verdana"/>
          <w:b/>
          <w:sz w:val="18"/>
          <w:szCs w:val="18"/>
        </w:rPr>
        <w:t xml:space="preserve">до </w:t>
      </w:r>
      <w:r w:rsidR="007A3EC8">
        <w:rPr>
          <w:rFonts w:ascii="Verdana" w:hAnsi="Verdana"/>
          <w:b/>
          <w:sz w:val="18"/>
          <w:szCs w:val="18"/>
        </w:rPr>
        <w:t>1</w:t>
      </w:r>
      <w:r w:rsidR="00F47822">
        <w:rPr>
          <w:rFonts w:ascii="Verdana" w:hAnsi="Verdana"/>
          <w:b/>
          <w:sz w:val="18"/>
          <w:szCs w:val="18"/>
        </w:rPr>
        <w:t>9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F47822">
        <w:rPr>
          <w:rFonts w:ascii="Verdana" w:hAnsi="Verdana"/>
          <w:b/>
          <w:sz w:val="18"/>
          <w:szCs w:val="18"/>
        </w:rPr>
        <w:t>августа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D682F">
        <w:rPr>
          <w:rFonts w:ascii="Verdana" w:hAnsi="Verdana"/>
          <w:sz w:val="18"/>
          <w:szCs w:val="18"/>
        </w:rPr>
        <w:t xml:space="preserve"> </w:t>
      </w:r>
      <w:r w:rsidR="007A3EC8">
        <w:rPr>
          <w:rFonts w:ascii="Verdana" w:hAnsi="Verdana"/>
          <w:sz w:val="18"/>
          <w:szCs w:val="18"/>
        </w:rPr>
        <w:t>1</w:t>
      </w:r>
      <w:r w:rsidR="00F47822">
        <w:rPr>
          <w:rFonts w:ascii="Verdana" w:hAnsi="Verdana"/>
          <w:sz w:val="18"/>
          <w:szCs w:val="18"/>
        </w:rPr>
        <w:t>9</w:t>
      </w:r>
      <w:r w:rsidR="001D10E0">
        <w:rPr>
          <w:rFonts w:ascii="Verdana" w:hAnsi="Verdana"/>
          <w:sz w:val="18"/>
          <w:szCs w:val="18"/>
        </w:rPr>
        <w:t xml:space="preserve"> </w:t>
      </w:r>
      <w:r w:rsidR="00F47822">
        <w:rPr>
          <w:rFonts w:ascii="Verdana" w:hAnsi="Verdana"/>
          <w:sz w:val="18"/>
          <w:szCs w:val="18"/>
        </w:rPr>
        <w:t>августа</w:t>
      </w:r>
      <w:bookmarkStart w:id="0" w:name="_GoBack"/>
      <w:bookmarkEnd w:id="0"/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FA2D78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FA2D78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B6" w:rsidRDefault="00C513B6" w:rsidP="0000683A">
      <w:r>
        <w:separator/>
      </w:r>
    </w:p>
  </w:endnote>
  <w:endnote w:type="continuationSeparator" w:id="0">
    <w:p w:rsidR="00C513B6" w:rsidRDefault="00C513B6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B6" w:rsidRDefault="00C513B6" w:rsidP="0000683A">
      <w:r>
        <w:separator/>
      </w:r>
    </w:p>
  </w:footnote>
  <w:footnote w:type="continuationSeparator" w:id="0">
    <w:p w:rsidR="00C513B6" w:rsidRDefault="00C513B6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70F04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44/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0512-6176-437A-938A-4A22FE0C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21629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2024-06-18T07:49:00Z</dcterms:created>
  <dcterms:modified xsi:type="dcterms:W3CDTF">2024-06-18T07:49:00Z</dcterms:modified>
</cp:coreProperties>
</file>